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97" w:rsidRPr="00E42755" w:rsidRDefault="000B3B97" w:rsidP="000B3B97">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TRIGÉSIMA CUARTA </w:t>
      </w:r>
      <w:r w:rsidRPr="0007653D">
        <w:rPr>
          <w:rFonts w:ascii="Palatino Linotype" w:hAnsi="Palatino Linotype" w:cs="Arial"/>
          <w:b/>
        </w:rPr>
        <w:t xml:space="preserve">SESIÓN ORDINARIA DE </w:t>
      </w:r>
      <w:r>
        <w:rPr>
          <w:rFonts w:ascii="Palatino Linotype" w:hAnsi="Palatino Linotype" w:cs="Arial"/>
          <w:b/>
        </w:rPr>
        <w:t>DIECINUEVE DE SEPTIEMBRE DE DOS MIL DIECIOCHO</w:t>
      </w:r>
      <w:r w:rsidRPr="0007653D">
        <w:rPr>
          <w:rFonts w:ascii="Palatino Linotype" w:hAnsi="Palatino Linotype" w:cs="Arial"/>
          <w:b/>
        </w:rPr>
        <w:t>, EN EL RECURSO DE REVISIÓN 0</w:t>
      </w:r>
      <w:r>
        <w:rPr>
          <w:rFonts w:ascii="Palatino Linotype" w:hAnsi="Palatino Linotype" w:cs="Arial"/>
          <w:b/>
        </w:rPr>
        <w:t>2429/INFOEM/IP/RR/201</w:t>
      </w:r>
      <w:r w:rsidR="00C0248B">
        <w:rPr>
          <w:rFonts w:ascii="Palatino Linotype" w:hAnsi="Palatino Linotype" w:cs="Arial"/>
          <w:b/>
        </w:rPr>
        <w:t>8</w:t>
      </w:r>
      <w:r w:rsidRPr="00E42755">
        <w:rPr>
          <w:rFonts w:ascii="Palatino Linotype" w:eastAsia="Calibri" w:hAnsi="Palatino Linotype" w:cs="Arial"/>
          <w:b/>
          <w:color w:val="000000"/>
        </w:rPr>
        <w:t>.</w:t>
      </w:r>
    </w:p>
    <w:p w:rsidR="000B3B97" w:rsidRPr="00E42755" w:rsidRDefault="000B3B97" w:rsidP="000B3B97">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2429/</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AVIER MARTÍNEZ CRUZ</w:t>
      </w:r>
      <w:r w:rsidRPr="0007653D">
        <w:rPr>
          <w:rFonts w:ascii="Palatino Linotype" w:hAnsi="Palatino Linotype" w:cs="Arial"/>
        </w:rPr>
        <w:t xml:space="preserve">, </w:t>
      </w:r>
      <w:r>
        <w:rPr>
          <w:rFonts w:ascii="Palatino Linotype" w:hAnsi="Palatino Linotype" w:cs="Arial"/>
        </w:rPr>
        <w:t>que es del tenor siguiente.</w:t>
      </w:r>
    </w:p>
    <w:p w:rsidR="000B3B97" w:rsidRDefault="000B3B97" w:rsidP="000B3B97">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a </w:t>
      </w:r>
      <w:r w:rsidR="00C0248B">
        <w:rPr>
          <w:rFonts w:ascii="Palatino Linotype" w:hAnsi="Palatino Linotype"/>
        </w:rPr>
        <w:t xml:space="preserve">parte de la </w:t>
      </w:r>
      <w:r>
        <w:rPr>
          <w:rFonts w:ascii="Palatino Linotype" w:hAnsi="Palatino Linotype"/>
        </w:rPr>
        <w:t>información de la que se ordena la ent</w:t>
      </w:r>
      <w:r w:rsidR="00C0248B">
        <w:rPr>
          <w:rFonts w:ascii="Palatino Linotype" w:hAnsi="Palatino Linotype"/>
        </w:rPr>
        <w:t>rega, así como a que se señalará</w:t>
      </w:r>
      <w:r>
        <w:rPr>
          <w:rFonts w:ascii="Palatino Linotype" w:hAnsi="Palatino Linotype"/>
        </w:rPr>
        <w:t xml:space="preserve"> en el Resolutivo Cuarto los artículo</w:t>
      </w:r>
      <w:r w:rsidR="00C0248B">
        <w:rPr>
          <w:rFonts w:ascii="Palatino Linotype" w:hAnsi="Palatino Linotype"/>
        </w:rPr>
        <w:t>s 159 y 160 de la Ley General de Transparencia y Acceso a Información Pública.</w:t>
      </w:r>
    </w:p>
    <w:p w:rsidR="000B3B97" w:rsidRDefault="000B3B97" w:rsidP="000B3B97">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 xml:space="preserve">requirió del </w:t>
      </w:r>
      <w:r>
        <w:rPr>
          <w:rFonts w:ascii="Palatino Linotype" w:hAnsi="Palatino Linotype"/>
          <w:b/>
        </w:rPr>
        <w:t>Ayuntamiento de Toluca</w:t>
      </w:r>
      <w:r>
        <w:rPr>
          <w:rFonts w:ascii="Palatino Linotype" w:hAnsi="Palatino Linotype" w:cs="Arial"/>
        </w:rPr>
        <w:t xml:space="preserve">, en lo sucesivo </w:t>
      </w:r>
      <w:r>
        <w:rPr>
          <w:rFonts w:ascii="Palatino Linotype" w:hAnsi="Palatino Linotype"/>
          <w:b/>
        </w:rPr>
        <w:t xml:space="preserve">EL </w:t>
      </w:r>
      <w:r>
        <w:rPr>
          <w:rFonts w:ascii="Palatino Linotype" w:hAnsi="Palatino Linotype"/>
          <w:b/>
        </w:rPr>
        <w:lastRenderedPageBreak/>
        <w:t>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diversa información relacionada con la Dirección de Seguridad Ciudadana, </w:t>
      </w:r>
      <w:r w:rsidR="00C0248B">
        <w:rPr>
          <w:rFonts w:ascii="Palatino Linotype" w:hAnsi="Palatino Linotype"/>
        </w:rPr>
        <w:t>referente al</w:t>
      </w:r>
      <w:r>
        <w:rPr>
          <w:rFonts w:ascii="Palatino Linotype" w:hAnsi="Palatino Linotype"/>
        </w:rPr>
        <w:t xml:space="preserve"> inventario general del parque vehicular, la plantilla del personal adscrito, los turnos de trabajo y los elementos policiales por turno.</w:t>
      </w:r>
    </w:p>
    <w:p w:rsidR="003E3CE0" w:rsidRDefault="000B3B97" w:rsidP="000B3B97">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003E3CE0">
        <w:rPr>
          <w:rFonts w:ascii="Palatino Linotype" w:hAnsi="Palatino Linotype" w:cs="Arial"/>
        </w:rPr>
        <w:t>en respuesta a los requerimientos planteados manifestó que la información se encontraba reservada, toda vez que se revelaría el estado de fuerza del Municipio.</w:t>
      </w:r>
    </w:p>
    <w:p w:rsidR="003E3CE0" w:rsidRDefault="000B3B97" w:rsidP="000B3B97">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w:t>
      </w:r>
      <w:r w:rsidR="003E3CE0">
        <w:rPr>
          <w:rFonts w:ascii="Palatino Linotype" w:hAnsi="Palatino Linotype" w:cs="Arial"/>
        </w:rPr>
        <w:t>l recurso de revisión de mérito.</w:t>
      </w:r>
    </w:p>
    <w:p w:rsidR="003E3CE0" w:rsidRPr="003E3CE0" w:rsidRDefault="000B3B97" w:rsidP="000B3B97">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3E3CE0">
        <w:rPr>
          <w:rFonts w:ascii="Palatino Linotype" w:hAnsi="Palatino Linotype" w:cs="Arial"/>
          <w:b/>
        </w:rPr>
        <w:t>MODIFIC</w:t>
      </w:r>
      <w:r w:rsidRPr="00AD7F4F">
        <w:rPr>
          <w:rFonts w:ascii="Palatino Linotype" w:hAnsi="Palatino Linotype" w:cs="Arial"/>
          <w:b/>
        </w:rPr>
        <w:t>A</w:t>
      </w:r>
      <w:r>
        <w:rPr>
          <w:rFonts w:ascii="Palatino Linotype" w:hAnsi="Palatino Linotype" w:cs="Arial"/>
          <w:b/>
        </w:rPr>
        <w:t>R</w:t>
      </w:r>
      <w:r w:rsidR="003E3CE0">
        <w:rPr>
          <w:rFonts w:ascii="Palatino Linotype" w:hAnsi="Palatino Linotype" w:cs="Arial"/>
        </w:rPr>
        <w:t xml:space="preserve"> la respuesta de</w:t>
      </w:r>
      <w:r>
        <w:rPr>
          <w:rFonts w:ascii="Palatino Linotype" w:hAnsi="Palatino Linotype" w:cs="Arial"/>
        </w:rPr>
        <w:t xml:space="preserve">l </w:t>
      </w:r>
      <w:r>
        <w:rPr>
          <w:rFonts w:ascii="Palatino Linotype" w:hAnsi="Palatino Linotype" w:cs="Arial"/>
          <w:b/>
        </w:rPr>
        <w:t xml:space="preserve">SUJETO OBLIGADO </w:t>
      </w:r>
      <w:r w:rsidR="003E3CE0">
        <w:rPr>
          <w:rFonts w:ascii="Palatino Linotype" w:hAnsi="Palatino Linotype" w:cs="Arial"/>
        </w:rPr>
        <w:t>y ordenarle haga entrega</w:t>
      </w:r>
      <w:r w:rsidR="003E3CE0" w:rsidRPr="00AD7F4F">
        <w:rPr>
          <w:rFonts w:ascii="Palatino Linotype" w:hAnsi="Palatino Linotype" w:cs="Arial"/>
        </w:rPr>
        <w:t xml:space="preserve"> vía </w:t>
      </w:r>
      <w:r w:rsidR="003E3CE0" w:rsidRPr="00AD7F4F">
        <w:rPr>
          <w:rFonts w:ascii="Palatino Linotype" w:hAnsi="Palatino Linotype" w:cs="Arial"/>
          <w:b/>
        </w:rPr>
        <w:t>SAIMEX</w:t>
      </w:r>
      <w:r w:rsidR="003E3CE0">
        <w:rPr>
          <w:rFonts w:ascii="Palatino Linotype" w:hAnsi="Palatino Linotype" w:cs="Arial"/>
          <w:b/>
        </w:rPr>
        <w:t xml:space="preserve">, </w:t>
      </w:r>
      <w:r w:rsidR="003E3CE0" w:rsidRPr="003E3CE0">
        <w:rPr>
          <w:rFonts w:ascii="Palatino Linotype" w:hAnsi="Palatino Linotype" w:cs="Arial"/>
        </w:rPr>
        <w:t>de lo siguiente:</w:t>
      </w:r>
    </w:p>
    <w:p w:rsidR="003E3CE0" w:rsidRPr="003E3CE0" w:rsidRDefault="003E3CE0" w:rsidP="003E3CE0">
      <w:pPr>
        <w:pStyle w:val="Prrafodelista"/>
        <w:numPr>
          <w:ilvl w:val="0"/>
          <w:numId w:val="2"/>
        </w:numPr>
        <w:ind w:left="1276" w:right="899" w:hanging="142"/>
        <w:rPr>
          <w:rFonts w:ascii="Palatino Linotype" w:hAnsi="Palatino Linotype" w:cs="Arial"/>
          <w:i/>
          <w:sz w:val="22"/>
          <w:szCs w:val="22"/>
        </w:rPr>
      </w:pPr>
      <w:r w:rsidRPr="003E3CE0">
        <w:rPr>
          <w:rFonts w:ascii="Palatino Linotype" w:hAnsi="Palatino Linotype" w:cs="Arial"/>
          <w:i/>
          <w:sz w:val="22"/>
          <w:szCs w:val="22"/>
        </w:rPr>
        <w:t>El Acuerdo de información reservada debidamente motivado y fundado emitido por su Comité de Transparencia, respecto al armamento.</w:t>
      </w:r>
    </w:p>
    <w:p w:rsidR="003E3CE0" w:rsidRPr="003E3CE0" w:rsidRDefault="003E3CE0" w:rsidP="003E3CE0">
      <w:pPr>
        <w:pStyle w:val="Prrafodelista"/>
        <w:ind w:left="1276" w:right="899" w:hanging="142"/>
        <w:rPr>
          <w:rFonts w:ascii="Palatino Linotype" w:hAnsi="Palatino Linotype" w:cs="Arial"/>
          <w:i/>
          <w:sz w:val="22"/>
          <w:szCs w:val="22"/>
        </w:rPr>
      </w:pPr>
    </w:p>
    <w:p w:rsidR="003E3CE0" w:rsidRPr="003E3CE0" w:rsidRDefault="003E3CE0" w:rsidP="003E3CE0">
      <w:pPr>
        <w:ind w:left="1276" w:right="899" w:hanging="142"/>
        <w:jc w:val="both"/>
        <w:rPr>
          <w:rFonts w:ascii="Palatino Linotype" w:hAnsi="Palatino Linotype" w:cs="Arial"/>
          <w:i/>
          <w:sz w:val="22"/>
          <w:szCs w:val="22"/>
        </w:rPr>
      </w:pPr>
      <w:r w:rsidRPr="003E3CE0">
        <w:rPr>
          <w:rFonts w:ascii="Palatino Linotype" w:hAnsi="Palatino Linotype" w:cs="Arial"/>
          <w:i/>
          <w:sz w:val="22"/>
          <w:szCs w:val="22"/>
          <w:lang w:val="es-MX"/>
        </w:rPr>
        <w:t xml:space="preserve">El soporte documental, en versión pública en donde conste: </w:t>
      </w:r>
    </w:p>
    <w:p w:rsidR="003E3CE0" w:rsidRPr="003E3CE0" w:rsidRDefault="003E3CE0" w:rsidP="003E3CE0">
      <w:pPr>
        <w:pStyle w:val="Prrafodelista"/>
        <w:numPr>
          <w:ilvl w:val="0"/>
          <w:numId w:val="2"/>
        </w:numPr>
        <w:ind w:left="1276" w:right="899" w:hanging="142"/>
        <w:jc w:val="both"/>
        <w:rPr>
          <w:rFonts w:ascii="Palatino Linotype" w:hAnsi="Palatino Linotype" w:cs="Arial"/>
          <w:i/>
          <w:sz w:val="22"/>
          <w:szCs w:val="22"/>
        </w:rPr>
      </w:pPr>
      <w:r w:rsidRPr="003E3CE0">
        <w:rPr>
          <w:rFonts w:ascii="Palatino Linotype" w:hAnsi="Palatino Linotype" w:cs="Arial"/>
          <w:i/>
          <w:sz w:val="22"/>
          <w:szCs w:val="22"/>
          <w:lang w:eastAsia="es-MX"/>
        </w:rPr>
        <w:t xml:space="preserve">El  expediente conformado con motivo del proceso de adquisición de las 100 patrullas referidas por el particular en su solicitud de información. </w:t>
      </w:r>
    </w:p>
    <w:p w:rsidR="003E3CE0" w:rsidRPr="003E3CE0" w:rsidRDefault="003E3CE0" w:rsidP="003E3CE0">
      <w:pPr>
        <w:pStyle w:val="Prrafodelista"/>
        <w:ind w:left="1276" w:right="899" w:hanging="142"/>
        <w:jc w:val="both"/>
        <w:rPr>
          <w:rFonts w:ascii="Palatino Linotype" w:hAnsi="Palatino Linotype" w:cs="Arial"/>
          <w:i/>
          <w:sz w:val="22"/>
          <w:szCs w:val="22"/>
        </w:rPr>
      </w:pPr>
    </w:p>
    <w:p w:rsidR="003E3CE0" w:rsidRPr="003E3CE0" w:rsidRDefault="003E3CE0" w:rsidP="003E3CE0">
      <w:pPr>
        <w:pStyle w:val="Prrafodelista"/>
        <w:numPr>
          <w:ilvl w:val="0"/>
          <w:numId w:val="2"/>
        </w:numPr>
        <w:ind w:left="1276" w:right="899" w:hanging="142"/>
        <w:jc w:val="both"/>
        <w:rPr>
          <w:rFonts w:ascii="Palatino Linotype" w:hAnsi="Palatino Linotype" w:cs="Arial"/>
          <w:i/>
          <w:sz w:val="22"/>
          <w:szCs w:val="22"/>
        </w:rPr>
      </w:pPr>
      <w:r w:rsidRPr="003E3CE0">
        <w:rPr>
          <w:rFonts w:ascii="Palatino Linotype" w:hAnsi="Palatino Linotype" w:cs="Arial"/>
          <w:i/>
          <w:sz w:val="22"/>
          <w:szCs w:val="22"/>
        </w:rPr>
        <w:t xml:space="preserve">Las facturas y pólizas de seguro de cada una de las patrullas y  nombre del proveedor. </w:t>
      </w:r>
    </w:p>
    <w:p w:rsidR="003E3CE0" w:rsidRPr="003E3CE0" w:rsidRDefault="003E3CE0" w:rsidP="003E3CE0">
      <w:pPr>
        <w:ind w:left="1276" w:right="899" w:hanging="142"/>
        <w:jc w:val="both"/>
        <w:rPr>
          <w:rFonts w:ascii="Palatino Linotype" w:hAnsi="Palatino Linotype" w:cs="Arial"/>
          <w:i/>
          <w:sz w:val="22"/>
          <w:szCs w:val="22"/>
        </w:rPr>
      </w:pPr>
    </w:p>
    <w:p w:rsidR="003E3CE0" w:rsidRPr="003E3CE0" w:rsidRDefault="003E3CE0" w:rsidP="003E3CE0">
      <w:pPr>
        <w:ind w:left="1276" w:right="899" w:hanging="142"/>
        <w:jc w:val="both"/>
        <w:rPr>
          <w:rFonts w:ascii="Palatino Linotype" w:hAnsi="Palatino Linotype" w:cs="Arial"/>
          <w:i/>
          <w:sz w:val="22"/>
          <w:szCs w:val="22"/>
        </w:rPr>
      </w:pPr>
      <w:r w:rsidRPr="003E3CE0">
        <w:rPr>
          <w:rFonts w:ascii="Palatino Linotype" w:hAnsi="Palatino Linotype" w:cs="Arial"/>
          <w:i/>
          <w:sz w:val="22"/>
          <w:szCs w:val="22"/>
        </w:rPr>
        <w:t xml:space="preserve">De la Dirección de Seguridad Ciudadana del Sujeto Obligado: </w:t>
      </w:r>
    </w:p>
    <w:p w:rsidR="003E3CE0" w:rsidRPr="003E3CE0" w:rsidRDefault="003E3CE0" w:rsidP="003E3CE0">
      <w:pPr>
        <w:pStyle w:val="Prrafodelista"/>
        <w:numPr>
          <w:ilvl w:val="0"/>
          <w:numId w:val="2"/>
        </w:numPr>
        <w:ind w:left="1276" w:right="899" w:hanging="142"/>
        <w:jc w:val="both"/>
        <w:rPr>
          <w:rFonts w:ascii="Palatino Linotype" w:hAnsi="Palatino Linotype" w:cs="Arial"/>
          <w:b/>
          <w:i/>
          <w:sz w:val="22"/>
          <w:szCs w:val="22"/>
        </w:rPr>
      </w:pPr>
      <w:r w:rsidRPr="003E3CE0">
        <w:rPr>
          <w:rFonts w:ascii="Palatino Linotype" w:hAnsi="Palatino Linotype" w:cs="Arial"/>
          <w:b/>
          <w:i/>
          <w:sz w:val="22"/>
          <w:szCs w:val="22"/>
        </w:rPr>
        <w:t>El inventario general del parque vehicular.</w:t>
      </w:r>
    </w:p>
    <w:p w:rsidR="003E3CE0" w:rsidRPr="003E3CE0" w:rsidRDefault="003E3CE0" w:rsidP="003E3CE0">
      <w:pPr>
        <w:pStyle w:val="Prrafodelista"/>
        <w:numPr>
          <w:ilvl w:val="0"/>
          <w:numId w:val="2"/>
        </w:numPr>
        <w:ind w:left="1276" w:right="899" w:hanging="142"/>
        <w:jc w:val="both"/>
        <w:rPr>
          <w:rFonts w:ascii="Palatino Linotype" w:hAnsi="Palatino Linotype" w:cs="Arial"/>
          <w:b/>
          <w:i/>
          <w:sz w:val="22"/>
          <w:szCs w:val="22"/>
        </w:rPr>
      </w:pPr>
      <w:r w:rsidRPr="003E3CE0">
        <w:rPr>
          <w:rFonts w:ascii="Palatino Linotype" w:hAnsi="Palatino Linotype" w:cs="Arial"/>
          <w:b/>
          <w:i/>
          <w:sz w:val="22"/>
          <w:szCs w:val="22"/>
        </w:rPr>
        <w:t xml:space="preserve">La Plantilla del personal adscrito. </w:t>
      </w:r>
    </w:p>
    <w:p w:rsidR="003E3CE0" w:rsidRPr="003E3CE0" w:rsidRDefault="003E3CE0" w:rsidP="003E3CE0">
      <w:pPr>
        <w:pStyle w:val="Prrafodelista"/>
        <w:numPr>
          <w:ilvl w:val="0"/>
          <w:numId w:val="2"/>
        </w:numPr>
        <w:ind w:left="1276" w:right="899" w:hanging="142"/>
        <w:jc w:val="both"/>
        <w:rPr>
          <w:rFonts w:ascii="Palatino Linotype" w:hAnsi="Palatino Linotype" w:cs="Arial"/>
          <w:b/>
          <w:i/>
          <w:sz w:val="22"/>
          <w:szCs w:val="22"/>
        </w:rPr>
      </w:pPr>
      <w:r w:rsidRPr="003E3CE0">
        <w:rPr>
          <w:rFonts w:ascii="Palatino Linotype" w:hAnsi="Palatino Linotype" w:cs="Arial"/>
          <w:b/>
          <w:i/>
          <w:sz w:val="22"/>
          <w:szCs w:val="22"/>
        </w:rPr>
        <w:t xml:space="preserve">Los Turnos de trabajo. </w:t>
      </w:r>
    </w:p>
    <w:p w:rsidR="003E3CE0" w:rsidRPr="003E3CE0" w:rsidRDefault="003E3CE0" w:rsidP="003E3CE0">
      <w:pPr>
        <w:pStyle w:val="Prrafodelista"/>
        <w:numPr>
          <w:ilvl w:val="0"/>
          <w:numId w:val="2"/>
        </w:numPr>
        <w:ind w:left="1276" w:right="899" w:hanging="142"/>
        <w:jc w:val="both"/>
        <w:rPr>
          <w:rFonts w:ascii="Palatino Linotype" w:hAnsi="Palatino Linotype" w:cs="Arial"/>
          <w:b/>
          <w:i/>
          <w:sz w:val="22"/>
          <w:szCs w:val="22"/>
        </w:rPr>
      </w:pPr>
      <w:r w:rsidRPr="003E3CE0">
        <w:rPr>
          <w:rFonts w:ascii="Palatino Linotype" w:hAnsi="Palatino Linotype" w:cs="Arial"/>
          <w:b/>
          <w:i/>
          <w:sz w:val="22"/>
          <w:szCs w:val="22"/>
        </w:rPr>
        <w:lastRenderedPageBreak/>
        <w:t xml:space="preserve">Número de elementos de policías por turno. </w:t>
      </w:r>
    </w:p>
    <w:p w:rsidR="003E3CE0" w:rsidRPr="003E3CE0" w:rsidRDefault="003E3CE0" w:rsidP="003E3CE0">
      <w:pPr>
        <w:ind w:left="1134" w:right="899"/>
        <w:jc w:val="both"/>
        <w:rPr>
          <w:rFonts w:ascii="Palatino Linotype" w:hAnsi="Palatino Linotype"/>
          <w:i/>
          <w:lang w:eastAsia="es-MX"/>
        </w:rPr>
      </w:pPr>
      <w:r w:rsidRPr="003E3CE0">
        <w:rPr>
          <w:rFonts w:ascii="Palatino Linotype" w:hAnsi="Palatino Linotype"/>
          <w:i/>
          <w:sz w:val="22"/>
          <w:szCs w:val="22"/>
          <w:lang w:eastAsia="es-MX"/>
        </w:rPr>
        <w:t xml:space="preserve">Asimismo, el Sujeto Obligado </w:t>
      </w:r>
      <w:r w:rsidRPr="003E3CE0">
        <w:rPr>
          <w:rFonts w:ascii="Palatino Linotype" w:hAnsi="Palatino Linotype" w:cs="Arial"/>
          <w:i/>
          <w:sz w:val="22"/>
          <w:szCs w:val="22"/>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 </w:t>
      </w:r>
    </w:p>
    <w:p w:rsidR="003E3CE0" w:rsidRDefault="000B3B97" w:rsidP="000B3B97">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 xml:space="preserve">a </w:t>
      </w:r>
      <w:r w:rsidR="003E3CE0">
        <w:rPr>
          <w:rFonts w:ascii="Palatino Linotype" w:hAnsi="Palatino Linotype" w:cs="Arial"/>
          <w:lang w:val="es-MX"/>
        </w:rPr>
        <w:t xml:space="preserve">que no se precise la temporalidad respecto de la cual deberá entregarse la información solicitada en los puntos </w:t>
      </w:r>
      <w:r w:rsidR="00C0248B">
        <w:rPr>
          <w:rFonts w:ascii="Palatino Linotype" w:hAnsi="Palatino Linotype" w:cs="Arial"/>
          <w:lang w:val="es-MX"/>
        </w:rPr>
        <w:t xml:space="preserve">identificados del numeral </w:t>
      </w:r>
      <w:r w:rsidR="003E3CE0">
        <w:rPr>
          <w:rFonts w:ascii="Palatino Linotype" w:hAnsi="Palatino Linotype" w:cs="Arial"/>
          <w:lang w:val="es-MX"/>
        </w:rPr>
        <w:t xml:space="preserve">4 al 7, </w:t>
      </w:r>
      <w:r w:rsidR="00066DA2">
        <w:rPr>
          <w:rFonts w:ascii="Palatino Linotype" w:hAnsi="Palatino Linotype" w:cs="Arial"/>
          <w:lang w:val="es-MX"/>
        </w:rPr>
        <w:t xml:space="preserve">así como que se </w:t>
      </w:r>
      <w:r w:rsidR="00C0248B">
        <w:rPr>
          <w:rFonts w:ascii="Palatino Linotype" w:hAnsi="Palatino Linotype" w:cs="Arial"/>
          <w:lang w:val="es-MX"/>
        </w:rPr>
        <w:t xml:space="preserve">invoquen </w:t>
      </w:r>
      <w:r w:rsidR="00066DA2">
        <w:rPr>
          <w:rFonts w:ascii="Palatino Linotype" w:hAnsi="Palatino Linotype" w:cs="Arial"/>
          <w:lang w:val="es-MX"/>
        </w:rPr>
        <w:t xml:space="preserve">los artículos 159 y 160 de la Ley General de Transparencia y </w:t>
      </w:r>
      <w:r w:rsidR="00C0248B">
        <w:rPr>
          <w:rFonts w:ascii="Palatino Linotype" w:hAnsi="Palatino Linotype" w:cs="Arial"/>
          <w:lang w:val="es-MX"/>
        </w:rPr>
        <w:t>Acceso a la Información Pública</w:t>
      </w:r>
      <w:r w:rsidR="00066DA2">
        <w:rPr>
          <w:rFonts w:ascii="Palatino Linotype" w:hAnsi="Palatino Linotype" w:cs="Arial"/>
          <w:lang w:val="es-MX"/>
        </w:rPr>
        <w:t xml:space="preserve"> en el Resolutivo Cuarto.</w:t>
      </w:r>
    </w:p>
    <w:p w:rsidR="00066DA2" w:rsidRDefault="00066DA2" w:rsidP="00066DA2">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w:t>
      </w:r>
      <w:r w:rsidR="00C0248B">
        <w:rPr>
          <w:rFonts w:ascii="Palatino Linotype" w:hAnsi="Palatino Linotype" w:cs="Arial"/>
        </w:rPr>
        <w:t>, obedece a que</w:t>
      </w:r>
      <w:r>
        <w:rPr>
          <w:rFonts w:ascii="Palatino Linotype" w:hAnsi="Palatino Linotype" w:cs="Arial"/>
        </w:rPr>
        <w:t xml:space="preserve"> </w:t>
      </w:r>
      <w:r>
        <w:rPr>
          <w:rFonts w:ascii="Palatino Linotype" w:hAnsi="Palatino Linotype" w:cs="Arial"/>
          <w:b/>
        </w:rPr>
        <w:t xml:space="preserve">EL RECURRENTE </w:t>
      </w:r>
      <w:r>
        <w:rPr>
          <w:rFonts w:ascii="Palatino Linotype" w:hAnsi="Palatino Linotype" w:cs="Arial"/>
        </w:rPr>
        <w:t>desde su solicitud de información omitió señalar la temporalidad respecto de la cual requería la información</w:t>
      </w:r>
      <w:r w:rsidR="009F7867">
        <w:rPr>
          <w:rFonts w:ascii="Palatino Linotype" w:hAnsi="Palatino Linotype" w:cs="Arial"/>
        </w:rPr>
        <w:t>; por lo que</w:t>
      </w:r>
      <w:r>
        <w:rPr>
          <w:rFonts w:ascii="Palatino Linotype" w:hAnsi="Palatino Linotype" w:cs="Arial"/>
        </w:rPr>
        <w:t>, la Ponencia Resolutora debió</w:t>
      </w:r>
      <w:r w:rsidRPr="009F03BA">
        <w:rPr>
          <w:rFonts w:ascii="Palatino Linotype" w:hAnsi="Palatino Linotype" w:cs="Arial"/>
        </w:rPr>
        <w:t xml:space="preserve"> en ejercicio de la facultad de suplir a los particulares en esta instancia, en términos de los artículos 13 y 181</w:t>
      </w:r>
      <w:r w:rsidR="009F7867">
        <w:rPr>
          <w:rFonts w:ascii="Palatino Linotype" w:hAnsi="Palatino Linotype" w:cs="Arial"/>
        </w:rPr>
        <w:t>, cuarto párrafo</w:t>
      </w:r>
      <w:r w:rsidRPr="009F03BA">
        <w:rPr>
          <w:rFonts w:ascii="Palatino Linotype" w:hAnsi="Palatino Linotype" w:cs="Arial"/>
        </w:rPr>
        <w:t xml:space="preserve"> de la Ley de Transparencia y Acceso a la Información Pública del Estado de México y Municipios, y en aras de privilegiar el principio de máx</w:t>
      </w:r>
      <w:r w:rsidR="009F7867">
        <w:rPr>
          <w:rFonts w:ascii="Palatino Linotype" w:hAnsi="Palatino Linotype" w:cs="Arial"/>
        </w:rPr>
        <w:t xml:space="preserve">ima publicidad a que se refiere el </w:t>
      </w:r>
      <w:r w:rsidRPr="009F03BA">
        <w:rPr>
          <w:rFonts w:ascii="Palatino Linotype" w:hAnsi="Palatino Linotype" w:cs="Arial"/>
        </w:rPr>
        <w:t>artículo</w:t>
      </w:r>
      <w:r w:rsidR="009F7867">
        <w:rPr>
          <w:rFonts w:ascii="Palatino Linotype" w:hAnsi="Palatino Linotype" w:cs="Arial"/>
        </w:rPr>
        <w:t xml:space="preserve"> 9, fracción VII del mismo ordenamiento le</w:t>
      </w:r>
      <w:r w:rsidRPr="009F03BA">
        <w:rPr>
          <w:rFonts w:ascii="Palatino Linotype" w:hAnsi="Palatino Linotype" w:cs="Arial"/>
        </w:rPr>
        <w:t xml:space="preserve">gal, </w:t>
      </w:r>
      <w:r>
        <w:rPr>
          <w:rFonts w:ascii="Palatino Linotype" w:hAnsi="Palatino Linotype" w:cs="Arial"/>
        </w:rPr>
        <w:t>pronunciarse respecto a que el periodo requerido, correspondería</w:t>
      </w:r>
      <w:r w:rsidRPr="009F03BA">
        <w:rPr>
          <w:rFonts w:ascii="Palatino Linotype" w:hAnsi="Palatino Linotype" w:cs="Arial"/>
        </w:rPr>
        <w:t xml:space="preserve"> al de un año inmediato anterior, contado a partir de la fecha en que se presentó la solicitud. </w:t>
      </w:r>
    </w:p>
    <w:p w:rsidR="009F7867" w:rsidRPr="009F03BA" w:rsidRDefault="009F7867" w:rsidP="009F7867">
      <w:pPr>
        <w:spacing w:before="100" w:beforeAutospacing="1" w:after="100" w:afterAutospacing="1" w:line="360" w:lineRule="auto"/>
        <w:jc w:val="both"/>
        <w:rPr>
          <w:rFonts w:ascii="Palatino Linotype" w:hAnsi="Palatino Linotype" w:cs="Arial"/>
        </w:rPr>
      </w:pPr>
      <w:r w:rsidRPr="009F03BA">
        <w:rPr>
          <w:rFonts w:ascii="Palatino Linotype" w:hAnsi="Palatino Linotype" w:cs="Arial"/>
        </w:rPr>
        <w:t xml:space="preserve">Sirve de apoyo a lo anterior, el criterio 9-13 emitido por el entonces Instituto Federal de Acceso a la Información y Protección de Datos (IFAI) hoy Instituto Nacional de </w:t>
      </w:r>
      <w:r w:rsidRPr="009F03BA">
        <w:rPr>
          <w:rFonts w:ascii="Palatino Linotype" w:hAnsi="Palatino Linotype" w:cs="Arial"/>
        </w:rPr>
        <w:lastRenderedPageBreak/>
        <w:t>Transparencia, Acceso a la Información y Protección de Datos Personales (INAI), que a la letra dice:</w:t>
      </w:r>
    </w:p>
    <w:p w:rsidR="009F7867" w:rsidRPr="0037342D" w:rsidRDefault="009F7867" w:rsidP="009F7867">
      <w:pPr>
        <w:ind w:left="709" w:right="760"/>
        <w:jc w:val="both"/>
        <w:rPr>
          <w:rFonts w:ascii="Palatino Linotype" w:hAnsi="Palatino Linotype" w:cs="Arial"/>
          <w:i/>
          <w:sz w:val="22"/>
        </w:rPr>
      </w:pPr>
      <w:r w:rsidRPr="0037342D">
        <w:rPr>
          <w:rFonts w:ascii="Palatino Linotype" w:hAnsi="Palatino Linotype" w:cs="Arial"/>
          <w:i/>
          <w:sz w:val="22"/>
        </w:rPr>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9F7867" w:rsidRPr="0037342D" w:rsidRDefault="009F7867" w:rsidP="009F7867">
      <w:pPr>
        <w:ind w:left="709" w:right="760"/>
        <w:jc w:val="both"/>
        <w:rPr>
          <w:rFonts w:ascii="Palatino Linotype" w:hAnsi="Palatino Linotype" w:cs="Arial"/>
          <w:i/>
          <w:sz w:val="22"/>
        </w:rPr>
      </w:pPr>
      <w:r w:rsidRPr="0037342D">
        <w:rPr>
          <w:rFonts w:ascii="Palatino Linotype" w:hAnsi="Palatino Linotype" w:cs="Arial"/>
          <w:i/>
          <w:sz w:val="22"/>
        </w:rPr>
        <w:t xml:space="preserve">Resoluciones </w:t>
      </w:r>
    </w:p>
    <w:p w:rsidR="009F7867" w:rsidRPr="0037342D" w:rsidRDefault="009F7867" w:rsidP="009F7867">
      <w:pPr>
        <w:ind w:left="709" w:right="760"/>
        <w:jc w:val="both"/>
        <w:rPr>
          <w:rFonts w:ascii="Palatino Linotype" w:hAnsi="Palatino Linotype" w:cs="Arial"/>
          <w:i/>
          <w:sz w:val="22"/>
        </w:rPr>
      </w:pPr>
      <w:r w:rsidRPr="0037342D">
        <w:rPr>
          <w:rFonts w:ascii="Palatino Linotype" w:hAnsi="Palatino Linotype" w:cs="Arial"/>
          <w:i/>
          <w:sz w:val="22"/>
        </w:rPr>
        <w:t>• RDA 1683/12. Interpuesto en contra del Servicio de Administración Tributaria. Comisionado Ponente Ángel Trinidad Zaldívar.</w:t>
      </w:r>
    </w:p>
    <w:p w:rsidR="009F7867" w:rsidRPr="0037342D" w:rsidRDefault="009F7867" w:rsidP="009F7867">
      <w:pPr>
        <w:ind w:left="709" w:right="760"/>
        <w:jc w:val="both"/>
        <w:rPr>
          <w:rFonts w:ascii="Palatino Linotype" w:hAnsi="Palatino Linotype" w:cs="Arial"/>
          <w:i/>
          <w:sz w:val="22"/>
        </w:rPr>
      </w:pPr>
      <w:r w:rsidRPr="0037342D">
        <w:rPr>
          <w:rFonts w:ascii="Palatino Linotype" w:hAnsi="Palatino Linotype" w:cs="Arial"/>
          <w:i/>
          <w:sz w:val="22"/>
        </w:rPr>
        <w:t xml:space="preserve">• RDA 1518/12. Interpuesto en contra de la Secretaría de Salud. Comisionado Ponente Ángel Trinidad Zaldívar. </w:t>
      </w:r>
    </w:p>
    <w:p w:rsidR="009F7867" w:rsidRPr="0037342D" w:rsidRDefault="009F7867" w:rsidP="009F7867">
      <w:pPr>
        <w:ind w:left="709" w:right="760"/>
        <w:jc w:val="both"/>
        <w:rPr>
          <w:rFonts w:ascii="Palatino Linotype" w:hAnsi="Palatino Linotype" w:cs="Arial"/>
          <w:i/>
          <w:sz w:val="22"/>
        </w:rPr>
      </w:pPr>
      <w:r w:rsidRPr="0037342D">
        <w:rPr>
          <w:rFonts w:ascii="Palatino Linotype" w:hAnsi="Palatino Linotype" w:cs="Arial"/>
          <w:i/>
          <w:sz w:val="22"/>
        </w:rPr>
        <w:t xml:space="preserve">• RDA 1439/12. Interpuesto en contra de la Secretaría de Educación Pública. Comisionada Ponente Sigrid </w:t>
      </w:r>
      <w:proofErr w:type="spellStart"/>
      <w:r w:rsidRPr="0037342D">
        <w:rPr>
          <w:rFonts w:ascii="Palatino Linotype" w:hAnsi="Palatino Linotype" w:cs="Arial"/>
          <w:i/>
          <w:sz w:val="22"/>
        </w:rPr>
        <w:t>Arzt</w:t>
      </w:r>
      <w:proofErr w:type="spellEnd"/>
      <w:r w:rsidRPr="0037342D">
        <w:rPr>
          <w:rFonts w:ascii="Palatino Linotype" w:hAnsi="Palatino Linotype" w:cs="Arial"/>
          <w:i/>
          <w:sz w:val="22"/>
        </w:rPr>
        <w:t xml:space="preserve"> Colunga.</w:t>
      </w:r>
    </w:p>
    <w:p w:rsidR="009F7867" w:rsidRPr="0037342D" w:rsidRDefault="009F7867" w:rsidP="009F7867">
      <w:pPr>
        <w:ind w:left="709" w:right="760"/>
        <w:jc w:val="both"/>
        <w:rPr>
          <w:rFonts w:ascii="Palatino Linotype" w:hAnsi="Palatino Linotype" w:cs="Arial"/>
          <w:i/>
          <w:sz w:val="22"/>
        </w:rPr>
      </w:pPr>
      <w:r w:rsidRPr="0037342D">
        <w:rPr>
          <w:rFonts w:ascii="Palatino Linotype" w:hAnsi="Palatino Linotype" w:cs="Arial"/>
          <w:i/>
          <w:sz w:val="22"/>
        </w:rPr>
        <w:t>• RDA 1308/12. Interpuesto en contra de la Secretaría de la Defensa Nacional. Comisionado Ponente Ángel Trinidad Zaldívar.</w:t>
      </w:r>
    </w:p>
    <w:p w:rsidR="009F7867" w:rsidRPr="0037342D" w:rsidRDefault="009F7867" w:rsidP="009F7867">
      <w:pPr>
        <w:ind w:left="709" w:right="760"/>
        <w:jc w:val="both"/>
        <w:rPr>
          <w:rFonts w:ascii="Palatino Linotype" w:hAnsi="Palatino Linotype" w:cs="Arial"/>
          <w:i/>
          <w:sz w:val="22"/>
        </w:rPr>
      </w:pPr>
      <w:r w:rsidRPr="0037342D">
        <w:rPr>
          <w:rFonts w:ascii="Palatino Linotype" w:hAnsi="Palatino Linotype" w:cs="Arial"/>
          <w:i/>
          <w:sz w:val="22"/>
        </w:rPr>
        <w:t xml:space="preserve">• 2109/11. Interpuesto en contra del Instituto Mexicano del Seguro Social. Comisionada Ponente Jacqueline </w:t>
      </w:r>
      <w:proofErr w:type="spellStart"/>
      <w:r w:rsidRPr="0037342D">
        <w:rPr>
          <w:rFonts w:ascii="Palatino Linotype" w:hAnsi="Palatino Linotype" w:cs="Arial"/>
          <w:i/>
          <w:sz w:val="22"/>
        </w:rPr>
        <w:t>Peschard</w:t>
      </w:r>
      <w:proofErr w:type="spellEnd"/>
      <w:r w:rsidRPr="0037342D">
        <w:rPr>
          <w:rFonts w:ascii="Palatino Linotype" w:hAnsi="Palatino Linotype" w:cs="Arial"/>
          <w:i/>
          <w:sz w:val="22"/>
        </w:rPr>
        <w:t xml:space="preserve"> Mariscal.”</w:t>
      </w:r>
    </w:p>
    <w:p w:rsidR="009F7867" w:rsidRPr="0037342D" w:rsidRDefault="009F7867" w:rsidP="009F7867">
      <w:pPr>
        <w:ind w:left="709" w:right="760"/>
        <w:jc w:val="both"/>
        <w:rPr>
          <w:rFonts w:ascii="Palatino Linotype" w:hAnsi="Palatino Linotype" w:cs="Arial"/>
          <w:i/>
          <w:sz w:val="22"/>
        </w:rPr>
      </w:pPr>
      <w:r w:rsidRPr="0037342D">
        <w:rPr>
          <w:rFonts w:ascii="Palatino Linotype" w:hAnsi="Palatino Linotype" w:cs="Arial"/>
          <w:i/>
          <w:sz w:val="22"/>
        </w:rPr>
        <w:t>(Énfasis añadido)</w:t>
      </w:r>
    </w:p>
    <w:p w:rsidR="009F7867" w:rsidRDefault="009F7867" w:rsidP="009F7867">
      <w:pPr>
        <w:spacing w:before="100" w:beforeAutospacing="1" w:after="100" w:afterAutospacing="1" w:line="360" w:lineRule="auto"/>
        <w:jc w:val="both"/>
        <w:rPr>
          <w:rFonts w:ascii="Palatino Linotype" w:hAnsi="Palatino Linotype" w:cs="Arial"/>
        </w:rPr>
      </w:pPr>
      <w:r w:rsidRPr="009F03BA">
        <w:rPr>
          <w:rFonts w:ascii="Palatino Linotype" w:hAnsi="Palatino Linotype" w:cs="Arial"/>
        </w:rPr>
        <w:t>En ese orden de ideas, deb</w:t>
      </w:r>
      <w:r>
        <w:rPr>
          <w:rFonts w:ascii="Palatino Linotype" w:hAnsi="Palatino Linotype" w:cs="Arial"/>
        </w:rPr>
        <w:t>ió</w:t>
      </w:r>
      <w:r w:rsidRPr="009F03BA">
        <w:rPr>
          <w:rFonts w:ascii="Palatino Linotype" w:hAnsi="Palatino Linotype" w:cs="Arial"/>
        </w:rPr>
        <w:t xml:space="preserve"> entenderse que el periodo por el que se requ</w:t>
      </w:r>
      <w:r>
        <w:rPr>
          <w:rFonts w:ascii="Palatino Linotype" w:hAnsi="Palatino Linotype" w:cs="Arial"/>
        </w:rPr>
        <w:t>ería</w:t>
      </w:r>
      <w:r w:rsidRPr="009F03BA">
        <w:rPr>
          <w:rFonts w:ascii="Palatino Linotype" w:hAnsi="Palatino Linotype" w:cs="Arial"/>
        </w:rPr>
        <w:t xml:space="preserve"> la información relativa a</w:t>
      </w:r>
      <w:r>
        <w:rPr>
          <w:rFonts w:ascii="Palatino Linotype" w:hAnsi="Palatino Linotype" w:cs="Arial"/>
        </w:rPr>
        <w:t xml:space="preserve"> el inventario general del parque vehicular, la pla</w:t>
      </w:r>
      <w:r w:rsidR="00C0248B">
        <w:rPr>
          <w:rFonts w:ascii="Palatino Linotype" w:hAnsi="Palatino Linotype" w:cs="Arial"/>
        </w:rPr>
        <w:t>ntilla de personal adscrito, el número de l</w:t>
      </w:r>
      <w:r>
        <w:rPr>
          <w:rFonts w:ascii="Palatino Linotype" w:hAnsi="Palatino Linotype" w:cs="Arial"/>
        </w:rPr>
        <w:t xml:space="preserve">os elementos policiales por turno </w:t>
      </w:r>
      <w:r w:rsidRPr="009F03BA">
        <w:rPr>
          <w:rFonts w:ascii="Palatino Linotype" w:hAnsi="Palatino Linotype" w:cs="Arial"/>
        </w:rPr>
        <w:t>corresponder</w:t>
      </w:r>
      <w:r>
        <w:rPr>
          <w:rFonts w:ascii="Palatino Linotype" w:hAnsi="Palatino Linotype" w:cs="Arial"/>
        </w:rPr>
        <w:t xml:space="preserve">ía del 22 de mayo de 2017 al 22 de mayo de 2018, </w:t>
      </w:r>
      <w:r w:rsidRPr="009F03BA">
        <w:rPr>
          <w:rFonts w:ascii="Palatino Linotype" w:hAnsi="Palatino Linotype" w:cs="Arial"/>
        </w:rPr>
        <w:t xml:space="preserve">es decir, de </w:t>
      </w:r>
      <w:r>
        <w:rPr>
          <w:rFonts w:ascii="Palatino Linotype" w:hAnsi="Palatino Linotype" w:cs="Arial"/>
        </w:rPr>
        <w:t>un</w:t>
      </w:r>
      <w:r w:rsidRPr="009F03BA">
        <w:rPr>
          <w:rFonts w:ascii="Palatino Linotype" w:hAnsi="Palatino Linotype" w:cs="Arial"/>
        </w:rPr>
        <w:t xml:space="preserve"> año inmediato anterior, contado a partir de la fecha en la que presentó la soli</w:t>
      </w:r>
      <w:r>
        <w:rPr>
          <w:rFonts w:ascii="Palatino Linotype" w:hAnsi="Palatino Linotype" w:cs="Arial"/>
        </w:rPr>
        <w:t>citud de información pública (22 de mayo de 2018).</w:t>
      </w:r>
    </w:p>
    <w:p w:rsidR="009F7867" w:rsidRPr="009F7867" w:rsidRDefault="009F7867" w:rsidP="009F7867">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Por otra parte, </w:t>
      </w:r>
      <w:r>
        <w:rPr>
          <w:rFonts w:ascii="Palatino Linotype" w:hAnsi="Palatino Linotype" w:cs="Arial"/>
        </w:rPr>
        <w:t xml:space="preserve">considero, que el sentido en que se resolvió el recurso de revisión no encuadra </w:t>
      </w:r>
      <w:r w:rsidR="00C0248B">
        <w:rPr>
          <w:rFonts w:ascii="Palatino Linotype" w:hAnsi="Palatino Linotype" w:cs="Arial"/>
        </w:rPr>
        <w:t xml:space="preserve">con alguna de </w:t>
      </w:r>
      <w:r>
        <w:rPr>
          <w:rFonts w:ascii="Palatino Linotype" w:hAnsi="Palatino Linotype" w:cs="Arial"/>
        </w:rPr>
        <w:t>las hipótesis contenidas en los artículos 159 y 160 de la Ley General de Transparencia y Acceso a la Información Pública citados por la Ponencia Resolutora</w:t>
      </w:r>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9F7867" w:rsidRDefault="009F7867" w:rsidP="009F7867">
      <w:pPr>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9F7867" w:rsidRPr="009F7867" w:rsidRDefault="009F7867" w:rsidP="009F7867">
      <w:pPr>
        <w:ind w:left="851" w:right="899"/>
        <w:jc w:val="both"/>
        <w:rPr>
          <w:rFonts w:ascii="Palatino Linotype" w:hAnsi="Palatino Linotype"/>
          <w:i/>
          <w:sz w:val="22"/>
          <w:szCs w:val="22"/>
        </w:rPr>
      </w:pPr>
      <w:r w:rsidRPr="009F7867">
        <w:rPr>
          <w:rFonts w:ascii="Palatino Linotype" w:hAnsi="Palatino Linotype"/>
          <w:i/>
          <w:sz w:val="22"/>
          <w:szCs w:val="22"/>
        </w:rPr>
        <w:t>“</w:t>
      </w:r>
      <w:r w:rsidRPr="009F7867">
        <w:rPr>
          <w:rFonts w:ascii="Palatino Linotype" w:hAnsi="Palatino Linotype"/>
          <w:b/>
          <w:i/>
          <w:sz w:val="22"/>
          <w:szCs w:val="22"/>
        </w:rPr>
        <w:t>Artículo 159</w:t>
      </w:r>
      <w:r w:rsidRPr="009F7867">
        <w:rPr>
          <w:rFonts w:ascii="Palatino Linotype" w:hAnsi="Palatino Linotype"/>
          <w:i/>
          <w:sz w:val="22"/>
          <w:szCs w:val="22"/>
        </w:rPr>
        <w:t>. Tratándose de las resoluciones a los recursos de revisión de los Organismos garantes de las Entidades Federativas, los particulares podrán optar por acudir ante el Instituto o ante el Poder Judicial de la Federación.</w:t>
      </w:r>
    </w:p>
    <w:p w:rsidR="009F7867" w:rsidRPr="009F7867" w:rsidRDefault="009F7867" w:rsidP="009F7867">
      <w:pPr>
        <w:ind w:left="851" w:right="899"/>
        <w:jc w:val="both"/>
        <w:rPr>
          <w:rFonts w:ascii="Palatino Linotype" w:hAnsi="Palatino Linotype"/>
          <w:i/>
          <w:sz w:val="22"/>
          <w:szCs w:val="22"/>
        </w:rPr>
      </w:pPr>
    </w:p>
    <w:p w:rsidR="009F7867" w:rsidRPr="009F7867" w:rsidRDefault="009F7867" w:rsidP="009F7867">
      <w:pPr>
        <w:ind w:left="851" w:right="899"/>
        <w:jc w:val="both"/>
        <w:rPr>
          <w:rFonts w:ascii="Palatino Linotype" w:hAnsi="Palatino Linotype"/>
          <w:i/>
          <w:sz w:val="22"/>
          <w:szCs w:val="22"/>
        </w:rPr>
      </w:pPr>
      <w:r w:rsidRPr="009F7867">
        <w:rPr>
          <w:rFonts w:ascii="Palatino Linotype" w:hAnsi="Palatino Linotype"/>
          <w:b/>
          <w:i/>
          <w:sz w:val="22"/>
          <w:szCs w:val="22"/>
        </w:rPr>
        <w:t>Artículo 160</w:t>
      </w:r>
      <w:r w:rsidRPr="009F7867">
        <w:rPr>
          <w:rFonts w:ascii="Palatino Linotype" w:hAnsi="Palatino Linotype"/>
          <w:i/>
          <w:sz w:val="22"/>
          <w:szCs w:val="22"/>
        </w:rPr>
        <w:t>. El recurso de inconformidad procede contra las resoluciones emitidas por los Organismos garantes de las Entidades Federativas que:</w:t>
      </w:r>
    </w:p>
    <w:p w:rsidR="009F7867" w:rsidRPr="009F7867" w:rsidRDefault="009F7867" w:rsidP="009F7867">
      <w:pPr>
        <w:ind w:left="851" w:right="899"/>
        <w:jc w:val="both"/>
        <w:rPr>
          <w:rFonts w:ascii="Palatino Linotype" w:hAnsi="Palatino Linotype"/>
          <w:i/>
          <w:sz w:val="22"/>
          <w:szCs w:val="22"/>
        </w:rPr>
      </w:pPr>
      <w:r w:rsidRPr="009F7867">
        <w:rPr>
          <w:rFonts w:ascii="Palatino Linotype" w:hAnsi="Palatino Linotype"/>
          <w:i/>
          <w:sz w:val="22"/>
          <w:szCs w:val="22"/>
        </w:rPr>
        <w:t>I.</w:t>
      </w:r>
      <w:r w:rsidRPr="009F7867">
        <w:rPr>
          <w:rFonts w:ascii="Palatino Linotype" w:hAnsi="Palatino Linotype"/>
          <w:i/>
          <w:sz w:val="22"/>
          <w:szCs w:val="22"/>
        </w:rPr>
        <w:tab/>
        <w:t>Confirmen o modifiquen la clasificación de la información, o</w:t>
      </w:r>
    </w:p>
    <w:p w:rsidR="009F7867" w:rsidRPr="009F7867" w:rsidRDefault="009F7867" w:rsidP="009F7867">
      <w:pPr>
        <w:ind w:left="851" w:right="899"/>
        <w:jc w:val="both"/>
        <w:rPr>
          <w:rFonts w:ascii="Palatino Linotype" w:hAnsi="Palatino Linotype"/>
          <w:i/>
          <w:sz w:val="22"/>
          <w:szCs w:val="22"/>
        </w:rPr>
      </w:pPr>
      <w:r w:rsidRPr="009F7867">
        <w:rPr>
          <w:rFonts w:ascii="Palatino Linotype" w:hAnsi="Palatino Linotype"/>
          <w:i/>
          <w:sz w:val="22"/>
          <w:szCs w:val="22"/>
        </w:rPr>
        <w:t>II.</w:t>
      </w:r>
      <w:r w:rsidRPr="009F7867">
        <w:rPr>
          <w:rFonts w:ascii="Palatino Linotype" w:hAnsi="Palatino Linotype"/>
          <w:i/>
          <w:sz w:val="22"/>
          <w:szCs w:val="22"/>
        </w:rPr>
        <w:tab/>
        <w:t>Confirmen la inexistencia o negativa de información.</w:t>
      </w:r>
    </w:p>
    <w:p w:rsidR="009F7867" w:rsidRDefault="009F7867" w:rsidP="009F7867">
      <w:pPr>
        <w:ind w:left="851" w:right="899"/>
        <w:jc w:val="both"/>
        <w:rPr>
          <w:rFonts w:ascii="Palatino Linotype" w:hAnsi="Palatino Linotype"/>
          <w:i/>
          <w:sz w:val="22"/>
          <w:szCs w:val="22"/>
        </w:rPr>
      </w:pPr>
      <w:r w:rsidRPr="009F7867">
        <w:rPr>
          <w:rFonts w:ascii="Palatino Linotype" w:hAnsi="Palatino Linotype"/>
          <w:i/>
          <w:sz w:val="22"/>
          <w:szCs w:val="22"/>
        </w:rPr>
        <w:t>Se entenderá como negativa de acceso a la información la falta de resolución de los Organismos garantes de las Entidades Federativas dentro del plazo previsto para ello.”</w:t>
      </w:r>
      <w:r>
        <w:rPr>
          <w:rFonts w:ascii="Palatino Linotype" w:hAnsi="Palatino Linotype"/>
          <w:i/>
          <w:sz w:val="22"/>
          <w:szCs w:val="22"/>
        </w:rPr>
        <w:t>(Sic)</w:t>
      </w:r>
    </w:p>
    <w:p w:rsidR="00C0248B" w:rsidRDefault="009F7867" w:rsidP="001D3B74">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Así, de </w:t>
      </w:r>
      <w:r w:rsidR="001D3B74">
        <w:rPr>
          <w:rFonts w:ascii="Palatino Linotype" w:hAnsi="Palatino Linotype" w:cs="Arial"/>
        </w:rPr>
        <w:t xml:space="preserve">lo anterior se advierte que, los </w:t>
      </w:r>
      <w:r>
        <w:rPr>
          <w:rFonts w:ascii="Palatino Linotype" w:hAnsi="Palatino Linotype" w:cs="Arial"/>
        </w:rPr>
        <w:t>artículo</w:t>
      </w:r>
      <w:r w:rsidR="001D3B74">
        <w:rPr>
          <w:rFonts w:ascii="Palatino Linotype" w:hAnsi="Palatino Linotype" w:cs="Arial"/>
        </w:rPr>
        <w:t>s</w:t>
      </w:r>
      <w:r>
        <w:rPr>
          <w:rFonts w:ascii="Palatino Linotype" w:hAnsi="Palatino Linotype" w:cs="Arial"/>
        </w:rPr>
        <w:t xml:space="preserve"> en cita no resulta</w:t>
      </w:r>
      <w:r w:rsidR="001D3B74">
        <w:rPr>
          <w:rFonts w:ascii="Palatino Linotype" w:hAnsi="Palatino Linotype" w:cs="Arial"/>
        </w:rPr>
        <w:t>n</w:t>
      </w:r>
      <w:r>
        <w:rPr>
          <w:rFonts w:ascii="Palatino Linotype" w:hAnsi="Palatino Linotype" w:cs="Arial"/>
        </w:rPr>
        <w:t xml:space="preserve"> aplicable</w:t>
      </w:r>
      <w:r w:rsidR="001D3B74">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w:t>
      </w:r>
      <w:r w:rsidR="001D3B74">
        <w:rPr>
          <w:rFonts w:ascii="Palatino Linotype" w:hAnsi="Palatino Linotype" w:cs="Arial"/>
        </w:rPr>
        <w:t xml:space="preserve">si bien mencionó </w:t>
      </w:r>
      <w:r w:rsidR="001D3B74">
        <w:rPr>
          <w:rFonts w:ascii="Palatino Linotype" w:hAnsi="Palatino Linotype" w:cs="Arial"/>
        </w:rPr>
        <w:lastRenderedPageBreak/>
        <w:t xml:space="preserve">que la información se encontraba reservada, también lo es que dicho Acuerdo de Clasificación carece de la debida fundamentación y motivación, además de que la información solicitada es considerada pública y la Ponencia Resolutora esta ordenando su entrega con las debidas previsiones para su disociación </w:t>
      </w:r>
      <w:r w:rsidR="001D3B74" w:rsidRPr="00AE2108">
        <w:rPr>
          <w:rFonts w:ascii="Palatino Linotype" w:hAnsi="Palatino Linotype"/>
          <w:lang w:eastAsia="es-MX"/>
        </w:rPr>
        <w:t>de tal modo que no se haga identificable al titular de los datos personales</w:t>
      </w:r>
      <w:r w:rsidR="00C0248B">
        <w:rPr>
          <w:rFonts w:ascii="Palatino Linotype" w:hAnsi="Palatino Linotype" w:cs="Arial"/>
        </w:rPr>
        <w:t>.</w:t>
      </w:r>
    </w:p>
    <w:p w:rsidR="009F7867" w:rsidRDefault="00C0248B" w:rsidP="001D3B74">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En ese sentido, la Ponencia Resolutora no </w:t>
      </w:r>
      <w:r w:rsidR="009F7867">
        <w:rPr>
          <w:rFonts w:ascii="Palatino Linotype" w:hAnsi="Palatino Linotype" w:cs="Arial"/>
        </w:rPr>
        <w:t>clasificó formalmente la información requerida por el particular, y tampoco confirmó la inexistencia de la información;</w:t>
      </w:r>
      <w:r>
        <w:rPr>
          <w:rFonts w:ascii="Palatino Linotype" w:hAnsi="Palatino Linotype" w:cs="Arial"/>
        </w:rPr>
        <w:t xml:space="preserve"> por lo que, </w:t>
      </w:r>
      <w:r w:rsidR="009F7867">
        <w:rPr>
          <w:rFonts w:ascii="Palatino Linotype" w:hAnsi="Palatino Linotype" w:cs="Arial"/>
        </w:rPr>
        <w:t xml:space="preserve">el recurso de revisión fue resuelto conforme al plazo señalado en el numeral 181 de la Ley de Transparencia y Acceso a la Información Pública del Estado de México y Municipios; </w:t>
      </w:r>
      <w:r>
        <w:rPr>
          <w:rFonts w:ascii="Palatino Linotype" w:hAnsi="Palatino Linotype" w:cs="Arial"/>
        </w:rPr>
        <w:t xml:space="preserve">en consecuencia no puede considerarse como negativa de la información, por ende, no se actualizan ninguno </w:t>
      </w:r>
      <w:r w:rsidR="009F7867">
        <w:rPr>
          <w:rFonts w:ascii="Palatino Linotype" w:hAnsi="Palatino Linotype" w:cs="Arial"/>
        </w:rPr>
        <w:t>de los supuestos legales anteriormente citados</w:t>
      </w:r>
      <w:r>
        <w:rPr>
          <w:rFonts w:ascii="Palatino Linotype" w:hAnsi="Palatino Linotype" w:cs="Arial"/>
        </w:rPr>
        <w:t>.</w:t>
      </w:r>
    </w:p>
    <w:p w:rsidR="001D3B74" w:rsidRDefault="001D3B74" w:rsidP="001D3B74">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Para mayor claridad de lo aducido, se debe establecer que para confirmar o modificar la clasificación de la informac</w:t>
      </w:r>
      <w:r w:rsidR="00C0248B">
        <w:rPr>
          <w:rFonts w:ascii="Palatino Linotype" w:hAnsi="Palatino Linotype" w:cs="Arial"/>
        </w:rPr>
        <w:t>ión</w:t>
      </w:r>
      <w:r>
        <w:rPr>
          <w:rFonts w:ascii="Palatino Linotype" w:hAnsi="Palatino Linotype" w:cs="Arial"/>
        </w:rPr>
        <w:t xml:space="preserve">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Resolutora determinara que dicha clasificación es correcta o en su caso modificarla.</w:t>
      </w:r>
    </w:p>
    <w:p w:rsidR="00ED106E" w:rsidRDefault="000B3B97" w:rsidP="000B3B97">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sidR="001D3B74" w:rsidRPr="000A6958">
        <w:rPr>
          <w:rFonts w:ascii="Palatino Linotype" w:hAnsi="Palatino Linotype" w:cs="Arial"/>
        </w:rPr>
        <w:t xml:space="preserve">lo procedente </w:t>
      </w:r>
      <w:r w:rsidR="001D3B74">
        <w:rPr>
          <w:rFonts w:ascii="Palatino Linotype" w:hAnsi="Palatino Linotype" w:cs="Arial"/>
        </w:rPr>
        <w:t xml:space="preserve">respecto a la entrega de la información que se ordena entregar en los puntos 4 al 7 del Resolutivo Segundo era que era establecer un periodo </w:t>
      </w:r>
      <w:r w:rsidR="001D3B74">
        <w:rPr>
          <w:rFonts w:ascii="Palatino Linotype" w:hAnsi="Palatino Linotype" w:cs="Arial"/>
        </w:rPr>
        <w:lastRenderedPageBreak/>
        <w:t>de búsqueda exhaustiva de la información y entrega</w:t>
      </w:r>
      <w:r w:rsidR="00ED106E">
        <w:rPr>
          <w:rFonts w:ascii="Palatino Linotype" w:hAnsi="Palatino Linotype" w:cs="Arial"/>
        </w:rPr>
        <w:t>, a fin de otorgar seguridad y certeza jurídica a las partes; así como que, no se debieron invocar lo</w:t>
      </w:r>
      <w:r w:rsidR="00B849F1">
        <w:rPr>
          <w:rFonts w:ascii="Palatino Linotype" w:hAnsi="Palatino Linotype" w:cs="Arial"/>
        </w:rPr>
        <w:t xml:space="preserve">s artículos </w:t>
      </w:r>
      <w:r w:rsidR="00ED106E">
        <w:rPr>
          <w:rFonts w:ascii="Palatino Linotype" w:hAnsi="Palatino Linotype" w:cs="Arial"/>
        </w:rPr>
        <w:t>159 y 160 de la Ley General de Transparencia y Acceso a la Información Pública en el resolutivo CUARTO de la resolución ya que de las constancias del expediente no se advierten actos que encuadren en los supuestos legales señalados.</w:t>
      </w:r>
    </w:p>
    <w:p w:rsidR="00ED106E" w:rsidRDefault="00ED106E" w:rsidP="000B3B97">
      <w:pPr>
        <w:spacing w:before="100" w:beforeAutospacing="1" w:after="100" w:afterAutospacing="1" w:line="360" w:lineRule="auto"/>
        <w:jc w:val="both"/>
        <w:rPr>
          <w:rFonts w:ascii="Palatino Linotype" w:hAnsi="Palatino Linotype" w:cs="Arial"/>
        </w:rPr>
      </w:pPr>
    </w:p>
    <w:p w:rsidR="00DB2B14" w:rsidRDefault="00DB2B14" w:rsidP="000B3B97">
      <w:pPr>
        <w:spacing w:before="100" w:beforeAutospacing="1" w:after="100" w:afterAutospacing="1" w:line="360" w:lineRule="auto"/>
        <w:jc w:val="both"/>
        <w:rPr>
          <w:rFonts w:ascii="Palatino Linotype" w:hAnsi="Palatino Linotype" w:cs="Arial"/>
        </w:rPr>
      </w:pPr>
    </w:p>
    <w:p w:rsidR="00ED106E" w:rsidRDefault="00ED106E" w:rsidP="000B3B97">
      <w:pPr>
        <w:spacing w:before="100" w:beforeAutospacing="1" w:after="100" w:afterAutospacing="1" w:line="360" w:lineRule="auto"/>
        <w:jc w:val="both"/>
        <w:rPr>
          <w:rFonts w:ascii="Palatino Linotype" w:hAnsi="Palatino Linotype" w:cs="Arial"/>
        </w:rPr>
      </w:pPr>
    </w:p>
    <w:p w:rsidR="00B849F1" w:rsidRDefault="00B849F1" w:rsidP="000B3B97">
      <w:pPr>
        <w:spacing w:before="100" w:beforeAutospacing="1" w:after="100" w:afterAutospacing="1" w:line="360" w:lineRule="auto"/>
        <w:jc w:val="both"/>
        <w:rPr>
          <w:rFonts w:ascii="Palatino Linotype" w:hAnsi="Palatino Linotype" w:cs="Arial"/>
        </w:rPr>
      </w:pPr>
    </w:p>
    <w:p w:rsidR="00ED106E" w:rsidRDefault="00ED106E" w:rsidP="000B3B97">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0B3B97" w:rsidRPr="001950C9" w:rsidTr="00E8790C">
        <w:trPr>
          <w:jc w:val="center"/>
        </w:trPr>
        <w:tc>
          <w:tcPr>
            <w:tcW w:w="4393" w:type="dxa"/>
          </w:tcPr>
          <w:p w:rsidR="000B3B97" w:rsidRPr="001950C9" w:rsidRDefault="000B3B97" w:rsidP="00ED106E">
            <w:pPr>
              <w:jc w:val="center"/>
              <w:rPr>
                <w:rFonts w:ascii="Palatino Linotype" w:hAnsi="Palatino Linotype"/>
                <w:b/>
              </w:rPr>
            </w:pPr>
            <w:r w:rsidRPr="001950C9">
              <w:rPr>
                <w:rFonts w:ascii="Palatino Linotype" w:hAnsi="Palatino Linotype"/>
                <w:b/>
              </w:rPr>
              <w:t>EVA ABAID YAPUR</w:t>
            </w:r>
          </w:p>
          <w:p w:rsidR="000B3B97" w:rsidRDefault="000B3B97" w:rsidP="00B849F1">
            <w:pPr>
              <w:jc w:val="center"/>
              <w:rPr>
                <w:rFonts w:ascii="Palatino Linotype" w:hAnsi="Palatino Linotype"/>
                <w:b/>
              </w:rPr>
            </w:pPr>
            <w:r w:rsidRPr="001950C9">
              <w:rPr>
                <w:rFonts w:ascii="Palatino Linotype" w:hAnsi="Palatino Linotype"/>
                <w:b/>
              </w:rPr>
              <w:t>COMISIONADA</w:t>
            </w:r>
          </w:p>
          <w:p w:rsidR="001038D0" w:rsidRPr="001950C9" w:rsidRDefault="001038D0" w:rsidP="00B849F1">
            <w:pPr>
              <w:jc w:val="center"/>
              <w:rPr>
                <w:rFonts w:ascii="Palatino Linotype" w:hAnsi="Palatino Linotype"/>
                <w:b/>
              </w:rPr>
            </w:pPr>
            <w:r>
              <w:rPr>
                <w:rFonts w:ascii="Palatino Linotype" w:hAnsi="Palatino Linotype" w:cs="Arial"/>
                <w:b/>
              </w:rPr>
              <w:t>(RÚBRICA)</w:t>
            </w:r>
            <w:bookmarkStart w:id="0" w:name="_GoBack"/>
            <w:bookmarkEnd w:id="0"/>
          </w:p>
        </w:tc>
      </w:tr>
    </w:tbl>
    <w:p w:rsidR="00ED106E" w:rsidRDefault="00ED106E" w:rsidP="00ED106E">
      <w:pPr>
        <w:jc w:val="both"/>
        <w:rPr>
          <w:rFonts w:ascii="Palatino Linotype" w:eastAsia="Calibri" w:hAnsi="Palatino Linotype" w:cs="Arial"/>
          <w:color w:val="000000" w:themeColor="text1"/>
          <w:sz w:val="20"/>
          <w:szCs w:val="20"/>
        </w:rPr>
      </w:pPr>
    </w:p>
    <w:p w:rsidR="00ED106E" w:rsidRDefault="00ED106E" w:rsidP="00ED106E">
      <w:pPr>
        <w:jc w:val="both"/>
        <w:rPr>
          <w:rFonts w:ascii="Palatino Linotype" w:eastAsia="Calibri" w:hAnsi="Palatino Linotype" w:cs="Arial"/>
          <w:color w:val="000000" w:themeColor="text1"/>
          <w:sz w:val="20"/>
          <w:szCs w:val="20"/>
        </w:rPr>
      </w:pPr>
    </w:p>
    <w:p w:rsidR="00DB2B14" w:rsidRDefault="00DB2B14" w:rsidP="00ED106E">
      <w:pPr>
        <w:jc w:val="both"/>
        <w:rPr>
          <w:rFonts w:ascii="Palatino Linotype" w:eastAsia="Calibri" w:hAnsi="Palatino Linotype" w:cs="Arial"/>
          <w:color w:val="000000" w:themeColor="text1"/>
          <w:sz w:val="20"/>
          <w:szCs w:val="20"/>
        </w:rPr>
      </w:pPr>
    </w:p>
    <w:p w:rsidR="00DB2B14" w:rsidRDefault="00DB2B14" w:rsidP="00ED106E">
      <w:pPr>
        <w:jc w:val="both"/>
        <w:rPr>
          <w:rFonts w:ascii="Palatino Linotype" w:eastAsia="Calibri" w:hAnsi="Palatino Linotype" w:cs="Arial"/>
          <w:color w:val="000000" w:themeColor="text1"/>
          <w:sz w:val="20"/>
          <w:szCs w:val="20"/>
        </w:rPr>
      </w:pPr>
    </w:p>
    <w:p w:rsidR="00DB2B14" w:rsidRDefault="00DB2B14" w:rsidP="00ED106E">
      <w:pPr>
        <w:jc w:val="both"/>
        <w:rPr>
          <w:rFonts w:ascii="Palatino Linotype" w:eastAsia="Calibri" w:hAnsi="Palatino Linotype" w:cs="Arial"/>
          <w:color w:val="000000" w:themeColor="text1"/>
          <w:sz w:val="20"/>
          <w:szCs w:val="20"/>
        </w:rPr>
      </w:pPr>
    </w:p>
    <w:p w:rsidR="00DB2B14" w:rsidRDefault="00DB2B14" w:rsidP="00ED106E">
      <w:pPr>
        <w:jc w:val="both"/>
        <w:rPr>
          <w:rFonts w:ascii="Palatino Linotype" w:eastAsia="Calibri" w:hAnsi="Palatino Linotype" w:cs="Arial"/>
          <w:color w:val="000000" w:themeColor="text1"/>
          <w:sz w:val="20"/>
          <w:szCs w:val="20"/>
        </w:rPr>
      </w:pPr>
    </w:p>
    <w:p w:rsidR="00DB2B14" w:rsidRDefault="00DB2B14" w:rsidP="00ED106E">
      <w:pPr>
        <w:jc w:val="both"/>
        <w:rPr>
          <w:rFonts w:ascii="Palatino Linotype" w:eastAsia="Calibri" w:hAnsi="Palatino Linotype" w:cs="Arial"/>
          <w:color w:val="000000" w:themeColor="text1"/>
          <w:sz w:val="20"/>
          <w:szCs w:val="20"/>
        </w:rPr>
      </w:pPr>
    </w:p>
    <w:p w:rsidR="00DB2B14" w:rsidRDefault="00DB2B14" w:rsidP="00ED106E">
      <w:pPr>
        <w:jc w:val="both"/>
        <w:rPr>
          <w:rFonts w:ascii="Palatino Linotype" w:eastAsia="Calibri" w:hAnsi="Palatino Linotype" w:cs="Arial"/>
          <w:color w:val="000000" w:themeColor="text1"/>
          <w:sz w:val="20"/>
          <w:szCs w:val="20"/>
        </w:rPr>
      </w:pPr>
    </w:p>
    <w:p w:rsidR="00DB2B14" w:rsidRDefault="00DB2B14" w:rsidP="00ED106E">
      <w:pPr>
        <w:jc w:val="both"/>
        <w:rPr>
          <w:rFonts w:ascii="Palatino Linotype" w:eastAsia="Calibri" w:hAnsi="Palatino Linotype" w:cs="Arial"/>
          <w:color w:val="000000" w:themeColor="text1"/>
          <w:sz w:val="20"/>
          <w:szCs w:val="20"/>
        </w:rPr>
      </w:pPr>
    </w:p>
    <w:p w:rsidR="00ED106E" w:rsidRDefault="00ED106E" w:rsidP="00ED106E">
      <w:pPr>
        <w:jc w:val="both"/>
        <w:rPr>
          <w:rFonts w:ascii="Palatino Linotype" w:eastAsia="Calibri" w:hAnsi="Palatino Linotype" w:cs="Arial"/>
          <w:color w:val="000000" w:themeColor="text1"/>
          <w:sz w:val="20"/>
          <w:szCs w:val="20"/>
        </w:rPr>
      </w:pPr>
    </w:p>
    <w:p w:rsidR="000B3B97" w:rsidRDefault="000B3B97" w:rsidP="00ED106E">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sidR="00ED106E">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ED106E">
        <w:rPr>
          <w:rFonts w:ascii="Palatino Linotype" w:eastAsia="Calibri" w:hAnsi="Palatino Linotype" w:cs="Arial"/>
          <w:color w:val="000000" w:themeColor="text1"/>
          <w:sz w:val="20"/>
          <w:szCs w:val="20"/>
        </w:rPr>
        <w:t>2429</w:t>
      </w:r>
      <w:r w:rsidRPr="001950C9">
        <w:rPr>
          <w:rFonts w:ascii="Palatino Linotype" w:eastAsia="Calibri" w:hAnsi="Palatino Linotype" w:cs="Arial"/>
          <w:color w:val="000000" w:themeColor="text1"/>
          <w:sz w:val="20"/>
          <w:szCs w:val="20"/>
        </w:rPr>
        <w:t>/INFOEM/IP/RR/201</w:t>
      </w:r>
      <w:r w:rsidR="00ED106E">
        <w:rPr>
          <w:rFonts w:ascii="Palatino Linotype" w:eastAsia="Calibri" w:hAnsi="Palatino Linotype" w:cs="Arial"/>
          <w:color w:val="000000" w:themeColor="text1"/>
          <w:sz w:val="20"/>
          <w:szCs w:val="20"/>
        </w:rPr>
        <w:t>8</w:t>
      </w:r>
      <w:r w:rsidRPr="001950C9">
        <w:rPr>
          <w:rFonts w:ascii="Palatino Linotype" w:eastAsia="Calibri" w:hAnsi="Palatino Linotype" w:cs="Arial"/>
          <w:color w:val="000000" w:themeColor="text1"/>
          <w:sz w:val="20"/>
          <w:szCs w:val="20"/>
        </w:rPr>
        <w:t>, aprobado el</w:t>
      </w:r>
      <w:r>
        <w:rPr>
          <w:rFonts w:ascii="Palatino Linotype" w:eastAsia="Calibri" w:hAnsi="Palatino Linotype" w:cs="Arial"/>
          <w:color w:val="000000" w:themeColor="text1"/>
          <w:sz w:val="20"/>
          <w:szCs w:val="20"/>
        </w:rPr>
        <w:t xml:space="preserve"> </w:t>
      </w:r>
      <w:r w:rsidR="00ED106E">
        <w:rPr>
          <w:rFonts w:ascii="Palatino Linotype" w:eastAsia="Calibri" w:hAnsi="Palatino Linotype" w:cs="Arial"/>
          <w:color w:val="000000" w:themeColor="text1"/>
          <w:sz w:val="20"/>
          <w:szCs w:val="20"/>
        </w:rPr>
        <w:t xml:space="preserve">diecinueve de septiembre </w:t>
      </w:r>
      <w:r>
        <w:rPr>
          <w:rFonts w:ascii="Palatino Linotype" w:eastAsia="Calibri" w:hAnsi="Palatino Linotype" w:cs="Arial"/>
          <w:color w:val="000000" w:themeColor="text1"/>
          <w:sz w:val="20"/>
          <w:szCs w:val="20"/>
        </w:rPr>
        <w:t>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ED106E" w:rsidRPr="00B849F1" w:rsidRDefault="00ED106E" w:rsidP="00ED106E">
      <w:pPr>
        <w:jc w:val="both"/>
        <w:rPr>
          <w:rFonts w:ascii="Palatino Linotype" w:eastAsia="Calibri" w:hAnsi="Palatino Linotype" w:cs="Arial"/>
          <w:color w:val="000000" w:themeColor="text1"/>
          <w:sz w:val="10"/>
          <w:szCs w:val="18"/>
        </w:rPr>
      </w:pPr>
    </w:p>
    <w:p w:rsidR="000B3B97" w:rsidRDefault="000B3B97" w:rsidP="00ED106E">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0B3B97"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1D8" w:rsidRDefault="008911D8" w:rsidP="000B3B97">
      <w:r>
        <w:separator/>
      </w:r>
    </w:p>
  </w:endnote>
  <w:endnote w:type="continuationSeparator" w:id="0">
    <w:p w:rsidR="008911D8" w:rsidRDefault="008911D8" w:rsidP="000B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038D0" w:rsidP="00DC5C4E">
    <w:pPr>
      <w:pStyle w:val="Piedepgina"/>
      <w:tabs>
        <w:tab w:val="clear" w:pos="4252"/>
        <w:tab w:val="left" w:pos="4228"/>
      </w:tabs>
      <w:rPr>
        <w:rFonts w:ascii="Palatino Linotype" w:hAnsi="Palatino Linotype" w:cs="Arial"/>
        <w:b/>
        <w:bCs/>
        <w:sz w:val="20"/>
        <w:szCs w:val="20"/>
      </w:rPr>
    </w:pPr>
  </w:p>
  <w:p w:rsidR="00DB2B14" w:rsidRDefault="00DB2B14" w:rsidP="00DC5C4E">
    <w:pPr>
      <w:pStyle w:val="Piedepgina"/>
      <w:tabs>
        <w:tab w:val="clear" w:pos="4252"/>
        <w:tab w:val="left" w:pos="4228"/>
      </w:tabs>
      <w:rPr>
        <w:rFonts w:ascii="Palatino Linotype" w:hAnsi="Palatino Linotype" w:cs="Arial"/>
        <w:b/>
        <w:bCs/>
        <w:sz w:val="20"/>
        <w:szCs w:val="20"/>
      </w:rPr>
    </w:pPr>
  </w:p>
  <w:p w:rsidR="005C7C8F" w:rsidRDefault="001038D0" w:rsidP="00DC5C4E">
    <w:pPr>
      <w:pStyle w:val="Piedepgina"/>
      <w:tabs>
        <w:tab w:val="clear" w:pos="4252"/>
        <w:tab w:val="left" w:pos="4228"/>
      </w:tabs>
      <w:rPr>
        <w:rFonts w:ascii="Palatino Linotype" w:hAnsi="Palatino Linotype" w:cs="Arial"/>
        <w:b/>
        <w:bCs/>
        <w:sz w:val="20"/>
        <w:szCs w:val="20"/>
      </w:rPr>
    </w:pPr>
  </w:p>
  <w:p w:rsidR="005C7C8F" w:rsidRDefault="001038D0" w:rsidP="00DC5C4E">
    <w:pPr>
      <w:pStyle w:val="Piedepgina"/>
      <w:tabs>
        <w:tab w:val="clear" w:pos="4252"/>
        <w:tab w:val="left" w:pos="4228"/>
      </w:tabs>
      <w:rPr>
        <w:rFonts w:ascii="Palatino Linotype" w:hAnsi="Palatino Linotype" w:cs="Arial"/>
        <w:b/>
        <w:bCs/>
        <w:sz w:val="20"/>
        <w:szCs w:val="20"/>
      </w:rPr>
    </w:pPr>
  </w:p>
  <w:p w:rsidR="005C7C8F" w:rsidRDefault="001038D0" w:rsidP="00DC5C4E">
    <w:pPr>
      <w:pStyle w:val="Piedepgina"/>
      <w:rPr>
        <w:rFonts w:ascii="Palatino Linotype" w:hAnsi="Palatino Linotype" w:cs="Arial"/>
        <w:b/>
        <w:bCs/>
        <w:sz w:val="20"/>
        <w:szCs w:val="20"/>
      </w:rPr>
    </w:pPr>
  </w:p>
  <w:p w:rsidR="005C7C8F" w:rsidRPr="00F12350" w:rsidRDefault="005A110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038D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038D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1038D0"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1D8" w:rsidRDefault="008911D8" w:rsidP="000B3B97">
      <w:r>
        <w:separator/>
      </w:r>
    </w:p>
  </w:footnote>
  <w:footnote w:type="continuationSeparator" w:id="0">
    <w:p w:rsidR="008911D8" w:rsidRDefault="008911D8" w:rsidP="000B3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038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B14" w:rsidRDefault="00DB2B14"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4491832" wp14:editId="2331F1BC">
          <wp:simplePos x="0" y="0"/>
          <wp:positionH relativeFrom="column">
            <wp:posOffset>-688975</wp:posOffset>
          </wp:positionH>
          <wp:positionV relativeFrom="paragraph">
            <wp:posOffset>-448945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1038D0" w:rsidP="00DC5C4E">
    <w:pPr>
      <w:pStyle w:val="Encabezado"/>
      <w:tabs>
        <w:tab w:val="clear" w:pos="4252"/>
        <w:tab w:val="clear" w:pos="8504"/>
        <w:tab w:val="left" w:pos="2326"/>
      </w:tabs>
      <w:jc w:val="right"/>
    </w:pPr>
  </w:p>
  <w:p w:rsidR="005C7C8F" w:rsidRDefault="005A1105"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A1105"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0B3B97">
      <w:rPr>
        <w:rFonts w:ascii="Palatino Linotype" w:hAnsi="Palatino Linotype" w:cs="Arial"/>
        <w:sz w:val="20"/>
        <w:szCs w:val="20"/>
      </w:rPr>
      <w:t>2429</w:t>
    </w:r>
    <w:r>
      <w:rPr>
        <w:rFonts w:ascii="Palatino Linotype" w:hAnsi="Palatino Linotype" w:cs="Arial"/>
        <w:sz w:val="20"/>
        <w:szCs w:val="20"/>
      </w:rPr>
      <w:t>/INFOEM/IP</w:t>
    </w:r>
    <w:r w:rsidRPr="00706042">
      <w:rPr>
        <w:rFonts w:ascii="Palatino Linotype" w:hAnsi="Palatino Linotype" w:cs="Arial"/>
        <w:sz w:val="20"/>
        <w:szCs w:val="20"/>
      </w:rPr>
      <w:t>/RR/201</w:t>
    </w:r>
    <w:r w:rsidR="000B3B97">
      <w:rPr>
        <w:rFonts w:ascii="Palatino Linotype" w:hAnsi="Palatino Linotype" w:cs="Arial"/>
        <w:sz w:val="20"/>
        <w:szCs w:val="20"/>
      </w:rPr>
      <w:t>8</w:t>
    </w:r>
  </w:p>
  <w:p w:rsidR="005C7C8F" w:rsidRDefault="001038D0"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9.8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038D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4613"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A6B2A25"/>
    <w:multiLevelType w:val="hybridMultilevel"/>
    <w:tmpl w:val="B1EC4A5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97"/>
    <w:rsid w:val="00066DA2"/>
    <w:rsid w:val="000B3B97"/>
    <w:rsid w:val="001038D0"/>
    <w:rsid w:val="001D3B74"/>
    <w:rsid w:val="003E3CE0"/>
    <w:rsid w:val="00516AAD"/>
    <w:rsid w:val="005A1105"/>
    <w:rsid w:val="006F16C1"/>
    <w:rsid w:val="008911D8"/>
    <w:rsid w:val="009F7867"/>
    <w:rsid w:val="00B849F1"/>
    <w:rsid w:val="00C0248B"/>
    <w:rsid w:val="00C23B43"/>
    <w:rsid w:val="00C9714C"/>
    <w:rsid w:val="00DB2B14"/>
    <w:rsid w:val="00ED10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045D32D-F099-4F51-A3A3-EE49805F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3B9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3B97"/>
    <w:rPr>
      <w:rFonts w:eastAsiaTheme="minorEastAsia"/>
      <w:sz w:val="24"/>
      <w:szCs w:val="24"/>
      <w:lang w:val="es-ES_tradnl" w:eastAsia="es-ES"/>
    </w:rPr>
  </w:style>
  <w:style w:type="paragraph" w:styleId="Piedepgina">
    <w:name w:val="footer"/>
    <w:basedOn w:val="Normal"/>
    <w:link w:val="PiedepginaCar"/>
    <w:uiPriority w:val="99"/>
    <w:unhideWhenUsed/>
    <w:rsid w:val="000B3B9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3B97"/>
    <w:rPr>
      <w:rFonts w:eastAsiaTheme="minorEastAsia"/>
      <w:sz w:val="24"/>
      <w:szCs w:val="24"/>
      <w:lang w:val="es-ES_tradnl" w:eastAsia="es-ES"/>
    </w:rPr>
  </w:style>
  <w:style w:type="paragraph" w:styleId="Prrafodelista">
    <w:name w:val="List Paragraph"/>
    <w:basedOn w:val="Normal"/>
    <w:link w:val="PrrafodelistaCar"/>
    <w:uiPriority w:val="34"/>
    <w:qFormat/>
    <w:rsid w:val="000B3B97"/>
    <w:pPr>
      <w:ind w:left="720"/>
      <w:contextualSpacing/>
    </w:pPr>
    <w:rPr>
      <w:rFonts w:asciiTheme="minorHAnsi" w:eastAsiaTheme="minorEastAsia" w:hAnsiTheme="minorHAnsi" w:cstheme="minorBidi"/>
      <w:lang w:val="es-ES_tradnl"/>
    </w:rPr>
  </w:style>
  <w:style w:type="character" w:customStyle="1" w:styleId="PrrafodelistaCar">
    <w:name w:val="Párrafo de lista Car"/>
    <w:link w:val="Prrafodelista"/>
    <w:uiPriority w:val="34"/>
    <w:qFormat/>
    <w:locked/>
    <w:rsid w:val="000B3B97"/>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ED10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106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1610</Words>
  <Characters>8861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2018-09-24T15:38:00Z</cp:lastPrinted>
  <dcterms:created xsi:type="dcterms:W3CDTF">2018-09-21T16:32:00Z</dcterms:created>
  <dcterms:modified xsi:type="dcterms:W3CDTF">2018-10-19T19:59:00Z</dcterms:modified>
</cp:coreProperties>
</file>